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881" w:tblpY="2550"/>
        <w:tblW w:w="5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952"/>
      </w:tblGrid>
      <w:tr w:rsidR="001D570F" w:rsidRPr="00407442" w:rsidTr="0098431B">
        <w:trPr>
          <w:trHeight w:val="111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1D570F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B269B1" w:rsidRPr="00407442" w:rsidRDefault="00B269B1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wymagania minimalne</w:t>
            </w:r>
          </w:p>
        </w:tc>
      </w:tr>
      <w:tr w:rsidR="001D570F" w:rsidRPr="00407442" w:rsidTr="0098431B">
        <w:trPr>
          <w:trHeight w:val="58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Zintegrowany analizator typu PCR do szybkiej diagnostyki molekularnej</w:t>
            </w:r>
          </w:p>
        </w:tc>
      </w:tr>
      <w:tr w:rsidR="001D570F" w:rsidRPr="00407442" w:rsidTr="0098431B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Sprzęt wraz z oprogramowaniem  umożliwiający ekstrakcję, archiwizację, amplifikację w czasie rzeczywistym materiału genetycznego w ramach jednego systemu.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Sprzęt modułowy pozwalający na przeprowadzenie różnych oznaczeń w tym samym czasie na pokładzie tego samego analizatora.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Wynik badania w przeciągu maksymalnie 2 godzin .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System z możliwością końcowej automatycznej archiwizacji wyników.</w:t>
            </w:r>
          </w:p>
        </w:tc>
      </w:tr>
      <w:tr w:rsidR="001D570F" w:rsidRPr="00407442" w:rsidTr="0098431B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PCR wyposażony w aktywne moduły reakcyjne w liczbie odpowiadającej liczbie wykonywanych badań - wymagane  2  moduły, z możliwością rozbudowy systemu do 4 modułów</w:t>
            </w:r>
          </w:p>
        </w:tc>
      </w:tr>
      <w:tr w:rsidR="001D570F" w:rsidRPr="00407442" w:rsidTr="0098431B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System zapewniający </w:t>
            </w:r>
            <w:proofErr w:type="spellStart"/>
            <w:r w:rsidRPr="00407442">
              <w:rPr>
                <w:rFonts w:ascii="Calibri" w:eastAsia="Times New Roman" w:hAnsi="Calibri" w:cs="Times New Roman"/>
                <w:lang w:eastAsia="pl-PL"/>
              </w:rPr>
              <w:t>zintergowaną</w:t>
            </w:r>
            <w:proofErr w:type="spellEnd"/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 izolację DNA, amplifikację i detekcję w jednym procesie bez konieczności przenoszenia próbki na pokładzie 1 analizatora.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System dający możliwość bezpośredniego badania próbki klinicznej bez wstępnej ekstrakcji DNA/RNA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System dający możliwość monitorowania przebiegu reakcji oraz oprogramowanie do interpretacji wyników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Aparat w pełni zautomatyzowany z możliwością wykonania nawet pojedynczej próbki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Zintegrowany system gwarantujący minimalizację ryzyka zakażenia pracowników laboratorium.</w:t>
            </w:r>
          </w:p>
        </w:tc>
      </w:tr>
      <w:tr w:rsidR="001D570F" w:rsidRPr="00407442" w:rsidTr="0098431B">
        <w:trPr>
          <w:trHeight w:val="28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Wynik gotowy do interpretacji 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b/>
                <w:bCs/>
                <w:lang w:eastAsia="pl-PL"/>
              </w:rPr>
              <w:t>Kartridże kompatybilne z analizatorem</w:t>
            </w:r>
          </w:p>
        </w:tc>
      </w:tr>
      <w:tr w:rsidR="001D570F" w:rsidRPr="00407442" w:rsidTr="0098431B">
        <w:trPr>
          <w:trHeight w:val="27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Każdy kartridż składa się z poniższych składników: Komory przetwarzania – przechowują próbki, odczynniki, przetworzone próbki oraz odpady. Jedna z komór jest komorą powietrzną zaprojektowaną w celu wyrównywania ciśnienia wewnątrz kartridża. Układ zaworów –pozwala na przenoszenie płynów do różnych komór kartridża. Probówka reakcyjna – amplifikacja i detekcja powstałego produktu.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Kartridże do testów zakres przechowywania w temperaturze 2-28⁰C, z wyjątkiem testu w kierunku </w:t>
            </w:r>
            <w:proofErr w:type="spellStart"/>
            <w:r w:rsidRPr="00407442">
              <w:rPr>
                <w:rFonts w:ascii="Calibri" w:eastAsia="Times New Roman" w:hAnsi="Calibri" w:cs="Times New Roman"/>
                <w:lang w:eastAsia="pl-PL"/>
              </w:rPr>
              <w:t>norowirusa</w:t>
            </w:r>
            <w:proofErr w:type="spellEnd"/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 ( zakres 2-8⁰C).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Każdy kartridż zawiera kontrolę wewnętrzną.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1D570F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b/>
                <w:bCs/>
                <w:lang w:eastAsia="pl-PL"/>
              </w:rPr>
              <w:t>Testy możliwe do przeprowadzenia na analizatorze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Wymagana odpowiednia ilość materiałów zużywalnych wraz z odczynnikami służącymi przygotowaniu materiału genetycznego. 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Urządzenie wykorzystuje odczynniki tego samego producenta, fabrycznie </w:t>
            </w:r>
            <w:proofErr w:type="spellStart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rozporcjowane</w:t>
            </w:r>
            <w:proofErr w:type="spellEnd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zafoliowane (kartridże), opatrzone kodami 2D</w:t>
            </w:r>
          </w:p>
        </w:tc>
      </w:tr>
      <w:tr w:rsidR="001D570F" w:rsidRPr="00407442" w:rsidTr="00D5031D">
        <w:trPr>
          <w:trHeight w:val="101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Kody umieszczone na odczynnikach są automatycznie odczytywane przez czytnik kodów 2D wewnątrz aparatu i weryfikowane przez oprogramowanie</w:t>
            </w:r>
          </w:p>
        </w:tc>
      </w:tr>
      <w:tr w:rsidR="001D570F" w:rsidRPr="00407442" w:rsidTr="0098431B">
        <w:trPr>
          <w:trHeight w:val="12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Numery lot odczynników oraz daty przydatności są automatycznie odczytywane z kodów 2D na opakowaniach oraz zapisywane w tworzonym przez urządzenie raporcie pracy</w:t>
            </w:r>
          </w:p>
        </w:tc>
      </w:tr>
      <w:tr w:rsidR="001D570F" w:rsidRPr="00407442" w:rsidTr="0098431B">
        <w:trPr>
          <w:trHeight w:val="232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Moduł reakcyjny jest wyposażony w:</w:t>
            </w: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-Napęd zaworów – obraca układ zaworów kartridża i ustawia go odpowiednio w stosunku do komór kartridża.</w:t>
            </w: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-Napęd pompy  – przepompowywanie płynów do różnych komór kartridża.</w:t>
            </w: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-Moduł ultradźwiękowy – odpowiada za lizę próbki</w:t>
            </w: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-Moduł główny– przeprowadza amplifikację i wykrywanie produktów PCR.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Stacja sterująca w postaci komputera przenośnego.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Czytnik </w:t>
            </w:r>
            <w:proofErr w:type="spellStart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barkodów</w:t>
            </w:r>
            <w:proofErr w:type="spellEnd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D570F" w:rsidRPr="00407442" w:rsidTr="0098431B">
        <w:trPr>
          <w:trHeight w:val="15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do monitorowania  reakcji, detekcji i analizy amplifikacji DNA w czasie rzeczywistym umożliwiające kontrolę systemu, zbieranie i przechowywanie danych oraz analizę wyników.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F64947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Wykonawca zobowiązuje się dostarczyć sprzęt gotowy do pracy nie wymagający dodatkowych nakładów finansowych.</w:t>
            </w:r>
          </w:p>
        </w:tc>
      </w:tr>
      <w:tr w:rsidR="001D570F" w:rsidRPr="00407442" w:rsidTr="0098431B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504CC3" w:rsidP="00F64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F6494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lang w:eastAsia="pl-PL"/>
              </w:rPr>
              <w:t>Cena zawiera koszt dostawy, montażu,  szkolenia i licencji na oprogramowanie.</w:t>
            </w:r>
          </w:p>
        </w:tc>
      </w:tr>
      <w:tr w:rsidR="001D570F" w:rsidRPr="00407442" w:rsidTr="0098431B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F64947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Sprzęt spełniający wymagania dyrektywy 98/79/EC, </w:t>
            </w:r>
            <w:proofErr w:type="spellStart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>zwalidowany</w:t>
            </w:r>
            <w:proofErr w:type="spellEnd"/>
            <w:r w:rsidRPr="004074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przeznaczony do diagnostyki in vitro (IVD)</w:t>
            </w:r>
          </w:p>
        </w:tc>
      </w:tr>
      <w:tr w:rsidR="001D570F" w:rsidRPr="00407442" w:rsidTr="009843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F64947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98431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Gwarancja </w:t>
            </w:r>
            <w:r w:rsidR="00064EE8">
              <w:rPr>
                <w:rFonts w:ascii="Calibri" w:eastAsia="Times New Roman" w:hAnsi="Calibri" w:cs="Times New Roman"/>
                <w:lang w:eastAsia="pl-PL"/>
              </w:rPr>
              <w:t>producenta minimum</w:t>
            </w:r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 12 miesięcy</w:t>
            </w:r>
          </w:p>
        </w:tc>
      </w:tr>
      <w:tr w:rsidR="001D570F" w:rsidRPr="00407442" w:rsidTr="0098431B">
        <w:trPr>
          <w:trHeight w:val="28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0F" w:rsidRPr="00407442" w:rsidRDefault="00F64947" w:rsidP="009843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0F" w:rsidRPr="00407442" w:rsidRDefault="001D570F" w:rsidP="00D5031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Maksymalny t</w:t>
            </w:r>
            <w:r w:rsidRPr="00407442">
              <w:rPr>
                <w:rFonts w:ascii="Calibri" w:eastAsia="Times New Roman" w:hAnsi="Calibri" w:cs="Times New Roman"/>
                <w:lang w:eastAsia="pl-PL"/>
              </w:rPr>
              <w:t xml:space="preserve">ermin dostawy do </w:t>
            </w:r>
            <w:r w:rsidR="00D5031D">
              <w:rPr>
                <w:rFonts w:ascii="Calibri" w:eastAsia="Times New Roman" w:hAnsi="Calibri" w:cs="Times New Roman"/>
                <w:lang w:eastAsia="pl-PL"/>
              </w:rPr>
              <w:t>7</w:t>
            </w:r>
            <w:r w:rsidR="00535569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D5031D">
              <w:rPr>
                <w:rFonts w:ascii="Calibri" w:eastAsia="Times New Roman" w:hAnsi="Calibri" w:cs="Times New Roman"/>
                <w:lang w:eastAsia="pl-PL"/>
              </w:rPr>
              <w:t>grudnia</w:t>
            </w:r>
            <w:r w:rsidR="00535569">
              <w:rPr>
                <w:rFonts w:ascii="Calibri" w:eastAsia="Times New Roman" w:hAnsi="Calibri" w:cs="Times New Roman"/>
                <w:lang w:eastAsia="pl-PL"/>
              </w:rPr>
              <w:t xml:space="preserve"> 2020 r.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</w:tr>
    </w:tbl>
    <w:p w:rsidR="003E138D" w:rsidRDefault="003E138D"/>
    <w:p w:rsidR="0098431B" w:rsidRDefault="0098431B"/>
    <w:p w:rsidR="0098431B" w:rsidRDefault="0098431B"/>
    <w:p w:rsidR="0098431B" w:rsidRDefault="0098431B"/>
    <w:p w:rsidR="0098431B" w:rsidRDefault="0098431B"/>
    <w:p w:rsidR="0098431B" w:rsidRDefault="0098431B"/>
    <w:p w:rsidR="0098431B" w:rsidRDefault="0098431B"/>
    <w:p w:rsidR="0098431B" w:rsidRDefault="0098431B"/>
    <w:p w:rsidR="0098431B" w:rsidRDefault="0098431B"/>
    <w:p w:rsidR="00CB6A4A" w:rsidRDefault="00CB6A4A"/>
    <w:p w:rsidR="00CB6A4A" w:rsidRDefault="00CB6A4A"/>
    <w:p w:rsidR="00CB6A4A" w:rsidRDefault="00CB6A4A"/>
    <w:p w:rsidR="00CB6A4A" w:rsidRDefault="00CB6A4A"/>
    <w:p w:rsidR="003864EA" w:rsidRDefault="0047182D" w:rsidP="0047182D">
      <w:pPr>
        <w:spacing w:after="0"/>
      </w:pPr>
      <w:r w:rsidRPr="003864EA">
        <w:t xml:space="preserve">Wykonawca zagwarantuje możliwość zakupu testów w kierunku wykrywania SarsCov-2 </w:t>
      </w:r>
      <w:r w:rsidR="003864EA" w:rsidRPr="003864EA">
        <w:t xml:space="preserve"> </w:t>
      </w:r>
      <w:r w:rsidRPr="003864EA">
        <w:t>kompatybilnych z oferowanym urządzeniem w czasie max</w:t>
      </w:r>
      <w:r w:rsidR="00535569">
        <w:t xml:space="preserve">. do </w:t>
      </w:r>
      <w:r w:rsidR="00D5031D">
        <w:t>7</w:t>
      </w:r>
      <w:r w:rsidR="00535569">
        <w:t xml:space="preserve"> </w:t>
      </w:r>
      <w:r w:rsidR="00D5031D">
        <w:t>grudnia</w:t>
      </w:r>
      <w:bookmarkStart w:id="0" w:name="_GoBack"/>
      <w:bookmarkEnd w:id="0"/>
      <w:r w:rsidR="00535569">
        <w:t xml:space="preserve"> 2020 r.</w:t>
      </w:r>
    </w:p>
    <w:p w:rsidR="003864EA" w:rsidRDefault="003864EA" w:rsidP="003864EA"/>
    <w:p w:rsidR="0047182D" w:rsidRPr="003864EA" w:rsidRDefault="0047182D" w:rsidP="003864EA"/>
    <w:sectPr w:rsidR="0047182D" w:rsidRPr="003864EA" w:rsidSect="00CB6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44" w:rsidRDefault="00F20844" w:rsidP="001D570F">
      <w:pPr>
        <w:spacing w:after="0" w:line="240" w:lineRule="auto"/>
      </w:pPr>
      <w:r>
        <w:separator/>
      </w:r>
    </w:p>
  </w:endnote>
  <w:endnote w:type="continuationSeparator" w:id="0">
    <w:p w:rsidR="00F20844" w:rsidRDefault="00F20844" w:rsidP="001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44" w:rsidRDefault="00F20844" w:rsidP="001D570F">
      <w:pPr>
        <w:spacing w:after="0" w:line="240" w:lineRule="auto"/>
      </w:pPr>
      <w:r>
        <w:separator/>
      </w:r>
    </w:p>
  </w:footnote>
  <w:footnote w:type="continuationSeparator" w:id="0">
    <w:p w:rsidR="00F20844" w:rsidRDefault="00F20844" w:rsidP="001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0F" w:rsidRDefault="001D570F" w:rsidP="001D570F">
    <w:pPr>
      <w:pStyle w:val="Nagwek"/>
      <w:jc w:val="right"/>
    </w:pPr>
  </w:p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7"/>
      <w:gridCol w:w="2628"/>
      <w:gridCol w:w="2013"/>
      <w:gridCol w:w="2554"/>
    </w:tblGrid>
    <w:tr w:rsidR="00B269B1" w:rsidRPr="00B269B1" w:rsidTr="000E454E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B269B1" w:rsidRPr="00B269B1" w:rsidRDefault="00B269B1" w:rsidP="00B269B1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80E757F" wp14:editId="6DBE6EB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B269B1" w:rsidRPr="00B269B1" w:rsidRDefault="00B269B1" w:rsidP="00B269B1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DAB2E30" wp14:editId="6B17C612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B269B1" w:rsidRPr="00B269B1" w:rsidRDefault="00B269B1" w:rsidP="00B269B1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A168A31" wp14:editId="1DC031C6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B269B1" w:rsidRPr="00B269B1" w:rsidRDefault="00B269B1" w:rsidP="00B269B1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14246B4" wp14:editId="169F5610">
                <wp:extent cx="1476375" cy="4572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69B1" w:rsidRDefault="00B269B1" w:rsidP="00B269B1">
    <w:pPr>
      <w:pStyle w:val="Nagwek"/>
      <w:jc w:val="center"/>
    </w:pPr>
    <w:r>
      <w:t>Projekt pn: „Walka z epidemią COVID-19 na terenie Powiatu Starachowickiego”</w:t>
    </w:r>
  </w:p>
  <w:p w:rsidR="00B269B1" w:rsidRDefault="00B269B1" w:rsidP="00B269B1">
    <w:pPr>
      <w:pStyle w:val="Nagwek"/>
      <w:jc w:val="center"/>
    </w:pPr>
    <w:r>
      <w:t xml:space="preserve"> jest współfinansowany ze środków Unii Europejskiej w ramach Europejskiego Funduszu Społecznego</w:t>
    </w:r>
  </w:p>
  <w:p w:rsidR="0098431B" w:rsidRDefault="0098431B" w:rsidP="00B269B1">
    <w:pPr>
      <w:pStyle w:val="Nagwek"/>
      <w:jc w:val="center"/>
    </w:pPr>
  </w:p>
  <w:p w:rsidR="0098431B" w:rsidRDefault="0098431B" w:rsidP="00B269B1">
    <w:pPr>
      <w:pStyle w:val="Nagwek"/>
      <w:jc w:val="center"/>
    </w:pPr>
  </w:p>
  <w:p w:rsidR="00B269B1" w:rsidRDefault="00B269B1" w:rsidP="00B269B1">
    <w:pPr>
      <w:pStyle w:val="Nagwek"/>
      <w:jc w:val="center"/>
    </w:pPr>
  </w:p>
  <w:p w:rsidR="003864EA" w:rsidRDefault="003864EA" w:rsidP="003864EA">
    <w:pPr>
      <w:pStyle w:val="Nagwek"/>
      <w:jc w:val="right"/>
    </w:pPr>
    <w:r>
      <w:t xml:space="preserve">Załącznik nr 4 opis przedmiotu zamówienia </w:t>
    </w:r>
  </w:p>
  <w:p w:rsidR="00B269B1" w:rsidRDefault="00B269B1" w:rsidP="00B269B1">
    <w:pPr>
      <w:pStyle w:val="Nagwek"/>
      <w:jc w:val="center"/>
    </w:pPr>
  </w:p>
  <w:p w:rsidR="00B269B1" w:rsidRDefault="00B269B1" w:rsidP="00B269B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A" w:rsidRDefault="003864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E"/>
    <w:rsid w:val="00064EE8"/>
    <w:rsid w:val="001B19E8"/>
    <w:rsid w:val="001D0F3E"/>
    <w:rsid w:val="001D570F"/>
    <w:rsid w:val="002A3B76"/>
    <w:rsid w:val="002F0D30"/>
    <w:rsid w:val="003864EA"/>
    <w:rsid w:val="003E138D"/>
    <w:rsid w:val="00407442"/>
    <w:rsid w:val="0047182D"/>
    <w:rsid w:val="004C2AC0"/>
    <w:rsid w:val="00504CC3"/>
    <w:rsid w:val="00535569"/>
    <w:rsid w:val="00543FF8"/>
    <w:rsid w:val="005E524B"/>
    <w:rsid w:val="008525D2"/>
    <w:rsid w:val="00953C3C"/>
    <w:rsid w:val="009640CE"/>
    <w:rsid w:val="0098431B"/>
    <w:rsid w:val="009F5304"/>
    <w:rsid w:val="00B269B1"/>
    <w:rsid w:val="00B56A6E"/>
    <w:rsid w:val="00C23227"/>
    <w:rsid w:val="00CB6A4A"/>
    <w:rsid w:val="00D5031D"/>
    <w:rsid w:val="00F20844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70F"/>
  </w:style>
  <w:style w:type="paragraph" w:styleId="Stopka">
    <w:name w:val="footer"/>
    <w:basedOn w:val="Normalny"/>
    <w:link w:val="StopkaZnak"/>
    <w:uiPriority w:val="99"/>
    <w:unhideWhenUsed/>
    <w:rsid w:val="001D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70F"/>
  </w:style>
  <w:style w:type="paragraph" w:styleId="Tekstdymka">
    <w:name w:val="Balloon Text"/>
    <w:basedOn w:val="Normalny"/>
    <w:link w:val="TekstdymkaZnak"/>
    <w:uiPriority w:val="99"/>
    <w:semiHidden/>
    <w:unhideWhenUsed/>
    <w:rsid w:val="00B2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70F"/>
  </w:style>
  <w:style w:type="paragraph" w:styleId="Stopka">
    <w:name w:val="footer"/>
    <w:basedOn w:val="Normalny"/>
    <w:link w:val="StopkaZnak"/>
    <w:uiPriority w:val="99"/>
    <w:unhideWhenUsed/>
    <w:rsid w:val="001D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70F"/>
  </w:style>
  <w:style w:type="paragraph" w:styleId="Tekstdymka">
    <w:name w:val="Balloon Text"/>
    <w:basedOn w:val="Normalny"/>
    <w:link w:val="TekstdymkaZnak"/>
    <w:uiPriority w:val="99"/>
    <w:semiHidden/>
    <w:unhideWhenUsed/>
    <w:rsid w:val="00B2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 Suszczewicz</dc:creator>
  <cp:lastModifiedBy>SP w Starachowicach</cp:lastModifiedBy>
  <cp:revision>17</cp:revision>
  <cp:lastPrinted>2020-09-03T11:24:00Z</cp:lastPrinted>
  <dcterms:created xsi:type="dcterms:W3CDTF">2020-07-23T08:42:00Z</dcterms:created>
  <dcterms:modified xsi:type="dcterms:W3CDTF">2020-09-03T11:24:00Z</dcterms:modified>
</cp:coreProperties>
</file>